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26"/>
          <w:szCs w:val="26"/>
        </w:rPr>
      </w:pPr>
      <w:r>
        <w:rPr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-495300</wp:posOffset>
            </wp:positionH>
            <wp:positionV relativeFrom="margin">
              <wp:posOffset>-238125</wp:posOffset>
            </wp:positionV>
            <wp:extent cx="1123950" cy="679450"/>
            <wp:effectExtent l="0" t="0" r="0" b="6350"/>
            <wp:wrapSquare wrapText="bothSides"/>
            <wp:docPr id="1" name="Рисунок 1" descr="cid:image002.png@01D925A7.4CE2AB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id:image002.png@01D925A7.4CE2ABF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olor w:val="2E74B5" w:themeColor="accent1" w:themeShade="BF"/>
          <w:sz w:val="26"/>
          <w:szCs w:val="26"/>
        </w:rPr>
        <w:t xml:space="preserve">Отделение Фонда пенсионного и социального страхования 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26"/>
          <w:szCs w:val="26"/>
        </w:rPr>
      </w:pPr>
      <w:r>
        <w:rPr>
          <w:rFonts w:ascii="Times New Roman" w:hAnsi="Times New Roman" w:cs="Times New Roman"/>
          <w:b/>
          <w:color w:val="2E74B5" w:themeColor="accent1" w:themeShade="BF"/>
          <w:sz w:val="26"/>
          <w:szCs w:val="26"/>
        </w:rPr>
        <w:t>Российской Федерации по Санкт-Петербургу и Ленинградской области</w:t>
      </w:r>
    </w:p>
    <w:p>
      <w:pPr>
        <w:spacing w:after="0" w:line="240" w:lineRule="auto"/>
        <w:ind w:firstLine="1985"/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Ответы на часто задаваемые вопросы по предоставлению сведений 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для назначения пособий в </w:t>
      </w:r>
      <w:proofErr w:type="spellStart"/>
      <w:r>
        <w:rPr>
          <w:rFonts w:ascii="Times New Roman" w:hAnsi="Times New Roman" w:cs="Times New Roman"/>
          <w:b/>
          <w:color w:val="C00000"/>
          <w:sz w:val="26"/>
          <w:szCs w:val="26"/>
        </w:rPr>
        <w:t>проактивном</w:t>
      </w:r>
      <w:proofErr w:type="spellEnd"/>
      <w:r>
        <w:rPr>
          <w:rFonts w:ascii="Times New Roman" w:hAnsi="Times New Roman" w:cs="Times New Roman"/>
          <w:b/>
          <w:color w:val="C00000"/>
          <w:sz w:val="26"/>
          <w:szCs w:val="26"/>
        </w:rPr>
        <w:t xml:space="preserve"> порядке</w:t>
      </w:r>
    </w:p>
    <w:p>
      <w:pPr>
        <w:spacing w:after="0" w:line="240" w:lineRule="auto"/>
        <w:rPr>
          <w:rFonts w:ascii="Times New Roman" w:hAnsi="Times New Roman" w:cs="Times New Roman"/>
          <w:b/>
          <w:color w:val="C00000"/>
          <w:sz w:val="25"/>
          <w:szCs w:val="25"/>
        </w:rPr>
      </w:pPr>
    </w:p>
    <w:p>
      <w:pPr>
        <w:spacing w:after="0"/>
        <w:ind w:left="-567"/>
        <w:jc w:val="both"/>
        <w:rPr>
          <w:rFonts w:ascii="Times New Roman" w:hAnsi="Times New Roman" w:cs="Times New Roman"/>
          <w:b/>
          <w:color w:val="0070C0"/>
          <w:sz w:val="26"/>
          <w:szCs w:val="26"/>
        </w:rPr>
      </w:pPr>
      <w:r>
        <w:rPr>
          <w:rFonts w:ascii="Times New Roman" w:hAnsi="Times New Roman" w:cs="Times New Roman"/>
          <w:b/>
          <w:color w:val="0070C0"/>
          <w:sz w:val="26"/>
          <w:szCs w:val="26"/>
        </w:rPr>
        <w:t>1. Страхователю поступил из СФР запрос (сообщение 100) на подтверждение сведений для назначения пособия работнику. Однако данный ЭЛН не подлежит оплате (например, сотрудник в данный период работал, или находился в отпуске без сохранения заработной платы, или имеет несколько мест работы и пособие из суммарного заработка будет выплачено другим работодателем). Как ответить на поступивший запрос сведений от СФР?</w:t>
      </w:r>
    </w:p>
    <w:p>
      <w:pPr>
        <w:spacing w:after="0"/>
        <w:ind w:left="-567"/>
        <w:jc w:val="both"/>
        <w:rPr>
          <w:rFonts w:ascii="Times New Roman" w:hAnsi="Times New Roman" w:cs="Times New Roman"/>
          <w:b/>
          <w:color w:val="0070C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случаях, когда ЭЛН не подлежит оплате по Вашей организации на </w:t>
      </w:r>
      <w:proofErr w:type="spellStart"/>
      <w:r>
        <w:rPr>
          <w:rFonts w:ascii="Times New Roman" w:hAnsi="Times New Roman"/>
          <w:sz w:val="26"/>
          <w:szCs w:val="26"/>
        </w:rPr>
        <w:t>проактивный</w:t>
      </w:r>
      <w:proofErr w:type="spellEnd"/>
      <w:r>
        <w:rPr>
          <w:rFonts w:ascii="Times New Roman" w:hAnsi="Times New Roman"/>
          <w:sz w:val="26"/>
          <w:szCs w:val="26"/>
        </w:rPr>
        <w:t xml:space="preserve"> запрос необходимо </w:t>
      </w:r>
      <w:r>
        <w:rPr>
          <w:rFonts w:ascii="Times New Roman" w:hAnsi="Times New Roman"/>
          <w:bCs/>
          <w:sz w:val="26"/>
          <w:szCs w:val="26"/>
        </w:rPr>
        <w:t>отвечать «отказом в оплате», поставив отметку в соответствующем поле с указанием причины.</w:t>
      </w:r>
      <w:r>
        <w:rPr>
          <w:rFonts w:ascii="Times New Roman" w:hAnsi="Times New Roman"/>
          <w:sz w:val="26"/>
          <w:szCs w:val="26"/>
        </w:rPr>
        <w:t xml:space="preserve"> </w:t>
      </w:r>
    </w:p>
    <w:p>
      <w:pPr>
        <w:spacing w:after="0"/>
        <w:ind w:left="-567"/>
        <w:jc w:val="both"/>
        <w:rPr>
          <w:rFonts w:ascii="Times New Roman" w:hAnsi="Times New Roman" w:cs="Times New Roman"/>
          <w:b/>
          <w:color w:val="0070C0"/>
          <w:sz w:val="26"/>
          <w:szCs w:val="26"/>
        </w:rPr>
      </w:pPr>
      <w:r>
        <w:rPr>
          <w:rFonts w:ascii="Times New Roman" w:hAnsi="Times New Roman" w:cs="Times New Roman"/>
          <w:color w:val="C00000"/>
          <w:sz w:val="26"/>
          <w:szCs w:val="26"/>
        </w:rPr>
        <w:t xml:space="preserve">ВАЖНО! </w:t>
      </w:r>
      <w:r>
        <w:rPr>
          <w:rFonts w:ascii="Times New Roman" w:hAnsi="Times New Roman"/>
          <w:sz w:val="26"/>
          <w:szCs w:val="26"/>
        </w:rPr>
        <w:t>Не рекомендуется подтверждать сведения с указанием в поле примечание «Не подлежит оплате».</w:t>
      </w:r>
    </w:p>
    <w:p>
      <w:pPr>
        <w:spacing w:after="0"/>
        <w:ind w:left="-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color w:val="0070C0"/>
          <w:sz w:val="26"/>
          <w:szCs w:val="26"/>
        </w:rPr>
        <w:t xml:space="preserve">2. В случае поступления запроса из СФР (сообщение 100), содержащего неполные сведения о заработке работника за 2023 год, может ли страхователь при формировании ответа указать имеющиеся у него данные о заработке? </w:t>
      </w:r>
    </w:p>
    <w:p>
      <w:pPr>
        <w:spacing w:after="0"/>
        <w:ind w:left="-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 направлении ответа на запрос (сообщение 101) можно указать достоверные сведения о заработке работника, имеющиеся у страхователя. </w:t>
      </w:r>
    </w:p>
    <w:p>
      <w:pPr>
        <w:spacing w:after="0"/>
        <w:ind w:left="-567"/>
        <w:jc w:val="both"/>
        <w:rPr>
          <w:rFonts w:ascii="Times New Roman" w:hAnsi="Times New Roman" w:cs="Times New Roman"/>
          <w:b/>
          <w:color w:val="1F497D"/>
          <w:sz w:val="26"/>
          <w:szCs w:val="26"/>
        </w:rPr>
      </w:pPr>
      <w:r>
        <w:rPr>
          <w:rFonts w:ascii="Times New Roman" w:hAnsi="Times New Roman"/>
          <w:color w:val="0070C0"/>
          <w:sz w:val="26"/>
          <w:szCs w:val="26"/>
          <w:u w:val="single"/>
        </w:rPr>
        <w:t>Примечание:</w:t>
      </w:r>
      <w:r>
        <w:rPr>
          <w:rFonts w:ascii="Times New Roman" w:hAnsi="Times New Roman"/>
          <w:color w:val="0070C0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В запросе (сообщение 100) отражаются сведения о заработке для исчисления пособий из состава сведений индивидуального (персон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ифицированного) учета.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В случае отсутствия в сообщении 100 сведений о заработке за расчетный период или если такие сведения учтены не в полном объеме, после корректного отражения сведений в системе персонифицированного учета (сдача/корректировка отчетности) </w:t>
      </w:r>
      <w:r>
        <w:rPr>
          <w:rFonts w:ascii="Times New Roman" w:hAnsi="Times New Roman" w:cs="Times New Roman"/>
          <w:sz w:val="26"/>
          <w:szCs w:val="26"/>
          <w:u w:val="single"/>
        </w:rPr>
        <w:t>Фондом будет произведен перерасчет ранее выплаченных пособий автоматически</w:t>
      </w:r>
      <w:r>
        <w:rPr>
          <w:rFonts w:ascii="Times New Roman" w:hAnsi="Times New Roman" w:cs="Times New Roman"/>
          <w:sz w:val="26"/>
          <w:szCs w:val="26"/>
        </w:rPr>
        <w:t xml:space="preserve"> без заявлений застрахованного лица или обращения страхователя.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Застрахованному лицу в личный кабинет на ЕПГУ будет направлена информация об уточненном размере пособия.</w:t>
      </w:r>
    </w:p>
    <w:p>
      <w:pPr>
        <w:spacing w:after="0"/>
        <w:ind w:left="-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70C0"/>
          <w:sz w:val="26"/>
          <w:szCs w:val="26"/>
        </w:rPr>
        <w:t xml:space="preserve">3. Сведения о страховом стаже некоторых сотрудников, указанные в запросе из СФР (сообщение 100), отличаются от имеющихся сведений у страхователя. </w:t>
      </w:r>
      <w:proofErr w:type="gramStart"/>
      <w:r>
        <w:rPr>
          <w:rFonts w:ascii="Times New Roman" w:eastAsia="Times New Roman" w:hAnsi="Times New Roman" w:cs="Times New Roman"/>
          <w:b/>
          <w:color w:val="0070C0"/>
          <w:sz w:val="26"/>
          <w:szCs w:val="26"/>
        </w:rPr>
        <w:t>Возможно</w:t>
      </w:r>
      <w:proofErr w:type="gramEnd"/>
      <w:r>
        <w:rPr>
          <w:rFonts w:ascii="Times New Roman" w:eastAsia="Times New Roman" w:hAnsi="Times New Roman" w:cs="Times New Roman"/>
          <w:b/>
          <w:color w:val="0070C0"/>
          <w:sz w:val="26"/>
          <w:szCs w:val="26"/>
        </w:rPr>
        <w:t xml:space="preserve"> ли корректировать данные о страховом стаже? </w:t>
      </w:r>
    </w:p>
    <w:p>
      <w:pPr>
        <w:spacing w:after="0"/>
        <w:ind w:left="-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Корректировка сведений о страховом стаже возможна в соответствии с имеющимися у страхователя подтвержденными данными.</w:t>
      </w:r>
    </w:p>
    <w:p>
      <w:pPr>
        <w:spacing w:after="0"/>
        <w:ind w:left="-567"/>
        <w:jc w:val="both"/>
        <w:rPr>
          <w:rFonts w:ascii="Times New Roman" w:hAnsi="Times New Roman" w:cs="Times New Roman"/>
          <w:b/>
          <w:color w:val="0070C0"/>
          <w:sz w:val="26"/>
          <w:szCs w:val="26"/>
        </w:rPr>
      </w:pPr>
      <w:r>
        <w:rPr>
          <w:rFonts w:ascii="Times New Roman" w:hAnsi="Times New Roman" w:cs="Times New Roman"/>
          <w:b/>
          <w:color w:val="0070C0"/>
          <w:sz w:val="26"/>
          <w:szCs w:val="26"/>
        </w:rPr>
        <w:t>4. Действие трудового договора с работником было приостановлено в соответствии со ст.351.7 ТК РФ на период прохождения им военной службы.  В дальнейшем действие трудового договора возобновлено. При наступлении страхового случая (временная нетрудоспособность) каким образом отразить информацию о периоде приостановления трудового договора в ответе на запрос сведений из СФР (сообщение 101)?</w:t>
      </w:r>
    </w:p>
    <w:p>
      <w:pPr>
        <w:spacing w:after="0"/>
        <w:ind w:left="-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блоке «Периоды приостановления трудовых договоров» указываются периоды, на которые был приостановлен трудовой договор с указанием основания.</w:t>
      </w:r>
      <w:r>
        <w:rPr>
          <w:rFonts w:ascii="Times New Roman" w:hAnsi="Times New Roman" w:cs="Times New Roman"/>
          <w:b/>
          <w:color w:val="0070C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При расчете пособия данный период будет автоматически исключен из количества календарных дней расчетного периода. </w:t>
      </w:r>
    </w:p>
    <w:p>
      <w:pPr>
        <w:spacing w:after="0"/>
        <w:ind w:left="-567"/>
        <w:jc w:val="both"/>
        <w:rPr>
          <w:rFonts w:ascii="Times New Roman" w:hAnsi="Times New Roman" w:cs="Times New Roman"/>
          <w:b/>
          <w:color w:val="1F4E79" w:themeColor="accent1" w:themeShade="80"/>
          <w:sz w:val="26"/>
          <w:szCs w:val="26"/>
        </w:rPr>
      </w:pPr>
      <w:r>
        <w:rPr>
          <w:rFonts w:ascii="Times New Roman" w:hAnsi="Times New Roman" w:cs="Times New Roman"/>
          <w:color w:val="C00000"/>
          <w:sz w:val="26"/>
          <w:szCs w:val="26"/>
        </w:rPr>
        <w:t xml:space="preserve">ВАЖНО! </w:t>
      </w:r>
      <w:r>
        <w:rPr>
          <w:rFonts w:ascii="Times New Roman" w:hAnsi="Times New Roman" w:cs="Times New Roman"/>
          <w:sz w:val="26"/>
          <w:szCs w:val="26"/>
        </w:rPr>
        <w:t xml:space="preserve">Поле «Количество календарных дней расчетного периода» корректировке страхователем не подлежит и должно оставаться </w:t>
      </w:r>
      <w:r>
        <w:rPr>
          <w:rFonts w:ascii="Times New Roman" w:hAnsi="Times New Roman" w:cs="Times New Roman"/>
          <w:sz w:val="26"/>
          <w:szCs w:val="26"/>
          <w:u w:val="single"/>
        </w:rPr>
        <w:t>равным 730.</w:t>
      </w:r>
    </w:p>
    <w:sectPr>
      <w:type w:val="continuous"/>
      <w:pgSz w:w="11906" w:h="16838"/>
      <w:pgMar w:top="851" w:right="850" w:bottom="0" w:left="1276" w:header="708" w:footer="708" w:gutter="0"/>
      <w:cols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918B6"/>
    <w:multiLevelType w:val="multilevel"/>
    <w:tmpl w:val="101ECC1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1F4E79" w:themeColor="accent1" w:themeShade="80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07DD4CA1"/>
    <w:multiLevelType w:val="hybridMultilevel"/>
    <w:tmpl w:val="D3AABE2E"/>
    <w:lvl w:ilvl="0" w:tplc="222E937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sz w:val="26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37939"/>
    <w:multiLevelType w:val="hybridMultilevel"/>
    <w:tmpl w:val="AA88C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993729"/>
    <w:multiLevelType w:val="hybridMultilevel"/>
    <w:tmpl w:val="BE544F52"/>
    <w:lvl w:ilvl="0" w:tplc="31FE2A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D809FC"/>
    <w:multiLevelType w:val="hybridMultilevel"/>
    <w:tmpl w:val="0AD87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784950"/>
    <w:multiLevelType w:val="hybridMultilevel"/>
    <w:tmpl w:val="75606546"/>
    <w:lvl w:ilvl="0" w:tplc="0419000B">
      <w:start w:val="1"/>
      <w:numFmt w:val="bullet"/>
      <w:lvlText w:val=""/>
      <w:lvlJc w:val="left"/>
      <w:pPr>
        <w:ind w:left="6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>
    <w:nsid w:val="22682DB6"/>
    <w:multiLevelType w:val="hybridMultilevel"/>
    <w:tmpl w:val="32DC90E4"/>
    <w:lvl w:ilvl="0" w:tplc="F1F03B1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sz w:val="2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F94679"/>
    <w:multiLevelType w:val="multilevel"/>
    <w:tmpl w:val="8A9CF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0056F0"/>
    <w:multiLevelType w:val="hybridMultilevel"/>
    <w:tmpl w:val="06EC03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1B4C9B"/>
    <w:multiLevelType w:val="hybridMultilevel"/>
    <w:tmpl w:val="57B063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38155A"/>
    <w:multiLevelType w:val="hybridMultilevel"/>
    <w:tmpl w:val="7E68DDE6"/>
    <w:lvl w:ilvl="0" w:tplc="B0787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E4B55E2"/>
    <w:multiLevelType w:val="hybridMultilevel"/>
    <w:tmpl w:val="1D5469DA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F5831BF"/>
    <w:multiLevelType w:val="hybridMultilevel"/>
    <w:tmpl w:val="64DA9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7B16EA"/>
    <w:multiLevelType w:val="hybridMultilevel"/>
    <w:tmpl w:val="C7A81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DB04A6"/>
    <w:multiLevelType w:val="hybridMultilevel"/>
    <w:tmpl w:val="1DD6E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C93064"/>
    <w:multiLevelType w:val="hybridMultilevel"/>
    <w:tmpl w:val="7B8C06D8"/>
    <w:lvl w:ilvl="0" w:tplc="52B8D9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A635568"/>
    <w:multiLevelType w:val="hybridMultilevel"/>
    <w:tmpl w:val="DB282556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B9226D0"/>
    <w:multiLevelType w:val="hybridMultilevel"/>
    <w:tmpl w:val="70B405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4065C8"/>
    <w:multiLevelType w:val="hybridMultilevel"/>
    <w:tmpl w:val="6EBC7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871C04"/>
    <w:multiLevelType w:val="hybridMultilevel"/>
    <w:tmpl w:val="0AD87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072A50"/>
    <w:multiLevelType w:val="hybridMultilevel"/>
    <w:tmpl w:val="A4062948"/>
    <w:lvl w:ilvl="0" w:tplc="6156A6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11B5676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>
    <w:nsid w:val="7C051933"/>
    <w:multiLevelType w:val="hybridMultilevel"/>
    <w:tmpl w:val="653E5974"/>
    <w:lvl w:ilvl="0" w:tplc="1D2C6F72">
      <w:start w:val="1"/>
      <w:numFmt w:val="bullet"/>
      <w:lvlText w:val="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CB328B1"/>
    <w:multiLevelType w:val="hybridMultilevel"/>
    <w:tmpl w:val="9E70A68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6"/>
  </w:num>
  <w:num w:numId="5">
    <w:abstractNumId w:val="1"/>
  </w:num>
  <w:num w:numId="6">
    <w:abstractNumId w:val="12"/>
  </w:num>
  <w:num w:numId="7">
    <w:abstractNumId w:val="14"/>
  </w:num>
  <w:num w:numId="8">
    <w:abstractNumId w:val="7"/>
  </w:num>
  <w:num w:numId="9">
    <w:abstractNumId w:val="15"/>
  </w:num>
  <w:num w:numId="10">
    <w:abstractNumId w:val="20"/>
  </w:num>
  <w:num w:numId="11">
    <w:abstractNumId w:val="3"/>
  </w:num>
  <w:num w:numId="12">
    <w:abstractNumId w:val="18"/>
  </w:num>
  <w:num w:numId="13">
    <w:abstractNumId w:val="16"/>
  </w:num>
  <w:num w:numId="14">
    <w:abstractNumId w:val="22"/>
  </w:num>
  <w:num w:numId="15">
    <w:abstractNumId w:val="4"/>
  </w:num>
  <w:num w:numId="16">
    <w:abstractNumId w:val="19"/>
  </w:num>
  <w:num w:numId="17">
    <w:abstractNumId w:val="21"/>
  </w:num>
  <w:num w:numId="18">
    <w:abstractNumId w:val="0"/>
  </w:num>
  <w:num w:numId="19">
    <w:abstractNumId w:val="10"/>
  </w:num>
  <w:num w:numId="20">
    <w:abstractNumId w:val="23"/>
  </w:num>
  <w:num w:numId="21">
    <w:abstractNumId w:val="11"/>
  </w:num>
  <w:num w:numId="22">
    <w:abstractNumId w:val="5"/>
  </w:num>
  <w:num w:numId="23">
    <w:abstractNumId w:val="17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Hyperlink"/>
    <w:basedOn w:val="a0"/>
    <w:uiPriority w:val="99"/>
    <w:unhideWhenUsed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customStyle="1" w:styleId="2">
    <w:name w:val="Стиль_Шт2"/>
    <w:basedOn w:val="a9"/>
    <w:pPr>
      <w:tabs>
        <w:tab w:val="left" w:pos="5529"/>
      </w:tabs>
      <w:spacing w:before="12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Body Text"/>
    <w:basedOn w:val="a"/>
    <w:link w:val="aa"/>
    <w:uiPriority w:val="99"/>
    <w:semiHidden/>
    <w:unhideWhenUsed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b">
    <w:name w:val="No Spacing"/>
    <w:uiPriority w:val="1"/>
    <w:qFormat/>
    <w:pPr>
      <w:spacing w:after="0" w:line="240" w:lineRule="auto"/>
    </w:pPr>
  </w:style>
  <w:style w:type="paragraph" w:styleId="ac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Hyperlink"/>
    <w:basedOn w:val="a0"/>
    <w:uiPriority w:val="99"/>
    <w:unhideWhenUsed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customStyle="1" w:styleId="2">
    <w:name w:val="Стиль_Шт2"/>
    <w:basedOn w:val="a9"/>
    <w:pPr>
      <w:tabs>
        <w:tab w:val="left" w:pos="5529"/>
      </w:tabs>
      <w:spacing w:before="12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Body Text"/>
    <w:basedOn w:val="a"/>
    <w:link w:val="aa"/>
    <w:uiPriority w:val="99"/>
    <w:semiHidden/>
    <w:unhideWhenUsed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b">
    <w:name w:val="No Spacing"/>
    <w:uiPriority w:val="1"/>
    <w:qFormat/>
    <w:pPr>
      <w:spacing w:after="0" w:line="240" w:lineRule="auto"/>
    </w:pPr>
  </w:style>
  <w:style w:type="paragraph" w:styleId="ac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93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94150.7FE5DC6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9153C-C78B-4DD3-90AF-62F8F765F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Горовая Ирина Викторовна</dc:creator>
  <cp:keywords/>
  <dc:description/>
  <cp:lastModifiedBy>Аксенова Вера Алексеевна</cp:lastModifiedBy>
  <cp:revision>10</cp:revision>
  <cp:lastPrinted>2024-01-29T11:18:00Z</cp:lastPrinted>
  <dcterms:created xsi:type="dcterms:W3CDTF">2024-01-25T08:09:00Z</dcterms:created>
  <dcterms:modified xsi:type="dcterms:W3CDTF">2024-01-29T14:32:00Z</dcterms:modified>
</cp:coreProperties>
</file>